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w:t>
            </w:r>
            <w:r w:rsidR="006338AC">
              <w:t>начальника</w:t>
            </w:r>
            <w:r w:rsidRPr="00326267">
              <w:t xml:space="preserve"> департаменту комерційної діяльності </w:t>
            </w:r>
            <w:r>
              <w:t>К</w:t>
            </w:r>
            <w:r w:rsidRPr="00326267">
              <w:t>уцелім Агнети Олександрівни, що ді</w:t>
            </w:r>
            <w:r w:rsidR="001F0D61">
              <w:t xml:space="preserve">є на підставі довіреності від </w:t>
            </w:r>
            <w:r w:rsidR="006338AC">
              <w:t>27</w:t>
            </w:r>
            <w:r w:rsidR="001F0D61" w:rsidRPr="001F0D61">
              <w:t xml:space="preserve"> </w:t>
            </w:r>
            <w:r w:rsidR="006338AC">
              <w:t>квіт</w:t>
            </w:r>
            <w:r w:rsidR="001F0D61">
              <w:t>ня</w:t>
            </w:r>
            <w:r w:rsidRPr="00326267">
              <w:t xml:space="preserve"> 20</w:t>
            </w:r>
            <w:r>
              <w:t>2</w:t>
            </w:r>
            <w:r w:rsidR="006338AC">
              <w:t>1</w:t>
            </w:r>
            <w:r w:rsidR="001F0D61">
              <w:t> року № 1-</w:t>
            </w:r>
            <w:r w:rsidR="006338AC">
              <w:t>2702</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6338AC">
              <w:rPr>
                <w:rFonts w:ascii="Times New Roman" w:hAnsi="Times New Roman"/>
                <w:sz w:val="24"/>
                <w:szCs w:val="24"/>
                <w:lang w:eastAsia="ru-RU"/>
              </w:rPr>
              <w:t>Head</w:t>
            </w:r>
            <w:r w:rsidRPr="00BA72E4">
              <w:rPr>
                <w:rFonts w:ascii="Times New Roman" w:hAnsi="Times New Roman"/>
                <w:sz w:val="24"/>
                <w:szCs w:val="24"/>
                <w:lang w:eastAsia="ru-RU"/>
              </w:rPr>
              <w:t xml:space="preserve">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w:t>
            </w:r>
            <w:r w:rsidR="001F0D61">
              <w:rPr>
                <w:rFonts w:ascii="Times New Roman" w:hAnsi="Times New Roman"/>
                <w:sz w:val="24"/>
                <w:szCs w:val="24"/>
                <w:lang w:eastAsia="ru-RU"/>
              </w:rPr>
              <w:t xml:space="preserve">asis of power of attorney of </w:t>
            </w:r>
            <w:r w:rsidR="006338AC">
              <w:rPr>
                <w:rFonts w:ascii="Times New Roman" w:hAnsi="Times New Roman"/>
                <w:sz w:val="24"/>
                <w:szCs w:val="24"/>
                <w:lang w:eastAsia="ru-RU"/>
              </w:rPr>
              <w:t>April</w:t>
            </w:r>
            <w:r w:rsidR="001F0D61">
              <w:rPr>
                <w:rFonts w:ascii="Times New Roman" w:hAnsi="Times New Roman"/>
                <w:sz w:val="24"/>
                <w:szCs w:val="24"/>
                <w:lang w:eastAsia="ru-RU"/>
              </w:rPr>
              <w:t xml:space="preserve"> </w:t>
            </w:r>
            <w:r w:rsidR="006338AC">
              <w:rPr>
                <w:rFonts w:ascii="Times New Roman" w:hAnsi="Times New Roman"/>
                <w:sz w:val="24"/>
                <w:szCs w:val="24"/>
                <w:lang w:eastAsia="ru-RU"/>
              </w:rPr>
              <w:t>27</w:t>
            </w:r>
            <w:r w:rsidRPr="00BA72E4">
              <w:rPr>
                <w:rFonts w:ascii="Times New Roman" w:hAnsi="Times New Roman"/>
                <w:sz w:val="24"/>
                <w:szCs w:val="24"/>
                <w:lang w:eastAsia="ru-RU"/>
              </w:rPr>
              <w:t>, 20</w:t>
            </w:r>
            <w:r>
              <w:rPr>
                <w:rFonts w:ascii="Times New Roman" w:hAnsi="Times New Roman"/>
                <w:sz w:val="24"/>
                <w:szCs w:val="24"/>
                <w:lang w:val="uk-UA" w:eastAsia="ru-RU"/>
              </w:rPr>
              <w:t>2</w:t>
            </w:r>
            <w:r w:rsidR="006338AC">
              <w:rPr>
                <w:rFonts w:ascii="Times New Roman" w:hAnsi="Times New Roman"/>
                <w:sz w:val="24"/>
                <w:szCs w:val="24"/>
                <w:lang w:eastAsia="ru-RU"/>
              </w:rPr>
              <w:t>1</w:t>
            </w:r>
            <w:r w:rsidR="001F0D61">
              <w:rPr>
                <w:rFonts w:ascii="Times New Roman" w:hAnsi="Times New Roman"/>
                <w:sz w:val="24"/>
                <w:szCs w:val="24"/>
                <w:lang w:eastAsia="ru-RU"/>
              </w:rPr>
              <w:t xml:space="preserve"> No. 1-</w:t>
            </w:r>
            <w:r w:rsidR="006338AC">
              <w:rPr>
                <w:rFonts w:ascii="Times New Roman" w:hAnsi="Times New Roman"/>
                <w:sz w:val="24"/>
                <w:szCs w:val="24"/>
                <w:lang w:eastAsia="ru-RU"/>
              </w:rPr>
              <w:t>2702</w:t>
            </w:r>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proofErr w:type="gramStart"/>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DD6118" w:rsidTr="00005EE6">
        <w:tc>
          <w:tcPr>
            <w:tcW w:w="7650" w:type="dxa"/>
          </w:tcPr>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lastRenderedPageBreak/>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lastRenderedPageBreak/>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proofErr w:type="gramStart"/>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roofErr w:type="gramEnd"/>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lastRenderedPageBreak/>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lastRenderedPageBreak/>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lastRenderedPageBreak/>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 xml:space="preserve">The payment for additional monthly working volume </w:t>
            </w:r>
            <w:proofErr w:type="gramStart"/>
            <w:r w:rsidR="000635A7" w:rsidRPr="00DD6118">
              <w:rPr>
                <w:rFonts w:ascii="Times New Roman" w:hAnsi="Times New Roman"/>
                <w:sz w:val="24"/>
                <w:szCs w:val="24"/>
                <w:lang w:val="en-GB"/>
              </w:rPr>
              <w:t>shall be performed</w:t>
            </w:r>
            <w:proofErr w:type="gramEnd"/>
            <w:r w:rsidR="000635A7" w:rsidRPr="00DD6118">
              <w:rPr>
                <w:rFonts w:ascii="Times New Roman" w:hAnsi="Times New Roman"/>
                <w:sz w:val="24"/>
                <w:szCs w:val="24"/>
                <w:lang w:val="en-GB"/>
              </w:rPr>
              <w:t xml:space="preserve">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24779A" w:rsidRDefault="004114D3" w:rsidP="00B74F51">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24779A">
              <w:rPr>
                <w:rFonts w:ascii="Times New Roman" w:hAnsi="Times New Roman"/>
                <w:color w:val="000000"/>
                <w:sz w:val="24"/>
                <w:szCs w:val="28"/>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30234F" w:rsidRDefault="0030234F" w:rsidP="00D24709">
            <w:pPr>
              <w:pStyle w:val="a"/>
              <w:numPr>
                <w:ilvl w:val="0"/>
                <w:numId w:val="0"/>
              </w:numPr>
              <w:jc w:val="center"/>
              <w:rPr>
                <w:rFonts w:ascii="Times New Roman" w:hAnsi="Times New Roman"/>
                <w:b/>
                <w:color w:val="000000"/>
                <w:sz w:val="24"/>
                <w:szCs w:val="28"/>
                <w:lang w:val="uk-UA"/>
              </w:rPr>
            </w:pPr>
          </w:p>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30234F" w:rsidRDefault="0030234F" w:rsidP="00D24709">
            <w:pPr>
              <w:pStyle w:val="a"/>
              <w:numPr>
                <w:ilvl w:val="0"/>
                <w:numId w:val="0"/>
              </w:numPr>
              <w:jc w:val="center"/>
              <w:rPr>
                <w:rFonts w:ascii="Times New Roman" w:hAnsi="Times New Roman"/>
                <w:b/>
                <w:color w:val="000000"/>
                <w:sz w:val="24"/>
                <w:szCs w:val="28"/>
                <w:lang w:val="uk-UA"/>
              </w:rPr>
            </w:pPr>
          </w:p>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exercise other rights provided by the current legislation.</w:t>
            </w:r>
          </w:p>
        </w:tc>
      </w:tr>
      <w:tr w:rsidR="00F47690" w:rsidRPr="00DD6118" w:rsidTr="00005EE6">
        <w:tc>
          <w:tcPr>
            <w:tcW w:w="7650" w:type="dxa"/>
          </w:tcPr>
          <w:p w:rsidR="0030234F" w:rsidRDefault="0030234F" w:rsidP="00BE1AB8">
            <w:pPr>
              <w:jc w:val="center"/>
              <w:rPr>
                <w:rFonts w:ascii="Times New Roman" w:hAnsi="Times New Roman"/>
                <w:b/>
                <w:color w:val="000000"/>
                <w:sz w:val="24"/>
                <w:szCs w:val="28"/>
                <w:lang w:val="uk-UA"/>
              </w:rPr>
            </w:pPr>
          </w:p>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t>V. ПРАВА І ОБОВ’ЯЗКИ ЗАМОВНИКА</w:t>
            </w:r>
          </w:p>
        </w:tc>
        <w:tc>
          <w:tcPr>
            <w:tcW w:w="7478" w:type="dxa"/>
          </w:tcPr>
          <w:p w:rsidR="0030234F" w:rsidRDefault="0030234F" w:rsidP="00BE1AB8">
            <w:pPr>
              <w:jc w:val="center"/>
              <w:rPr>
                <w:rFonts w:ascii="Times New Roman" w:hAnsi="Times New Roman"/>
                <w:b/>
                <w:sz w:val="24"/>
                <w:szCs w:val="24"/>
                <w:lang w:val="uk-UA"/>
              </w:rPr>
            </w:pPr>
          </w:p>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proofErr w:type="gramStart"/>
            <w:r w:rsidRPr="00DD6118">
              <w:rPr>
                <w:rFonts w:ascii="Times New Roman" w:hAnsi="Times New Roman"/>
                <w:sz w:val="24"/>
                <w:szCs w:val="24"/>
                <w:lang w:val="en-GB"/>
              </w:rPr>
              <w:t>perform</w:t>
            </w:r>
            <w:proofErr w:type="gramEnd"/>
            <w:r w:rsidRPr="00DD6118">
              <w:rPr>
                <w:rFonts w:ascii="Times New Roman" w:hAnsi="Times New Roman"/>
                <w:sz w:val="24"/>
                <w:szCs w:val="24"/>
                <w:lang w:val="en-GB"/>
              </w:rPr>
              <w:t xml:space="preserve">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proofErr w:type="gramStart"/>
            <w:r w:rsidRPr="00DD6118">
              <w:rPr>
                <w:rFonts w:ascii="Times New Roman" w:hAnsi="Times New Roman"/>
                <w:sz w:val="24"/>
                <w:szCs w:val="24"/>
                <w:lang w:val="en-GB"/>
              </w:rPr>
              <w:t>exercise</w:t>
            </w:r>
            <w:proofErr w:type="gramEnd"/>
            <w:r w:rsidRPr="00DD6118">
              <w:rPr>
                <w:rFonts w:ascii="Times New Roman" w:hAnsi="Times New Roman"/>
                <w:sz w:val="24"/>
                <w:szCs w:val="24"/>
                <w:lang w:val="en-GB"/>
              </w:rPr>
              <w:t xml:space="preserve"> other rights provided for by the legislation in force.</w:t>
            </w:r>
          </w:p>
        </w:tc>
      </w:tr>
      <w:tr w:rsidR="00F47690" w:rsidRPr="00DD6118" w:rsidTr="00005EE6">
        <w:tc>
          <w:tcPr>
            <w:tcW w:w="7650" w:type="dxa"/>
          </w:tcPr>
          <w:p w:rsidR="0030234F" w:rsidRDefault="0030234F" w:rsidP="00BE1AB8">
            <w:pPr>
              <w:ind w:firstLine="738"/>
              <w:jc w:val="center"/>
              <w:rPr>
                <w:rFonts w:ascii="Times New Roman" w:hAnsi="Times New Roman"/>
                <w:b/>
                <w:sz w:val="24"/>
                <w:szCs w:val="24"/>
                <w:lang w:val="uk-UA"/>
              </w:rPr>
            </w:pPr>
          </w:p>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lastRenderedPageBreak/>
              <w:t>VI. ТАРИФИ, КОЕФІЦІЄНТИ ТА ПОРЯДОК РОЗРАХУНКІВ</w:t>
            </w:r>
          </w:p>
        </w:tc>
        <w:tc>
          <w:tcPr>
            <w:tcW w:w="7478" w:type="dxa"/>
          </w:tcPr>
          <w:p w:rsidR="0030234F" w:rsidRDefault="0030234F" w:rsidP="00BE1AB8">
            <w:pPr>
              <w:ind w:firstLine="742"/>
              <w:jc w:val="center"/>
              <w:rPr>
                <w:rFonts w:ascii="Times New Roman" w:hAnsi="Times New Roman"/>
                <w:b/>
                <w:sz w:val="24"/>
                <w:szCs w:val="24"/>
                <w:lang w:val="uk-UA"/>
              </w:rPr>
            </w:pPr>
          </w:p>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lastRenderedPageBreak/>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w:t>
            </w:r>
            <w:proofErr w:type="gramStart"/>
            <w:r w:rsidR="00F47690" w:rsidRPr="00DD6118">
              <w:rPr>
                <w:rFonts w:ascii="Times New Roman" w:hAnsi="Times New Roman"/>
                <w:sz w:val="24"/>
                <w:szCs w:val="24"/>
                <w:lang w:val="en-GB"/>
              </w:rPr>
              <w:t xml:space="preserve">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roofErr w:type="gramEnd"/>
            <w:r w:rsidR="00F47690" w:rsidRPr="00DD6118">
              <w:rPr>
                <w:rFonts w:ascii="Times New Roman" w:hAnsi="Times New Roman"/>
                <w:sz w:val="24"/>
                <w:szCs w:val="24"/>
                <w:lang w:val="en-GB"/>
              </w:rPr>
              <w: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88557214"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88557215"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DD6118">
              <w:rPr>
                <w:rFonts w:ascii="Times New Roman" w:hAnsi="Times New Roman"/>
                <w:sz w:val="24"/>
                <w:szCs w:val="24"/>
                <w:lang w:val="en-GB"/>
              </w:rPr>
              <w:t>in the amount of actual</w:t>
            </w:r>
            <w:proofErr w:type="gramEnd"/>
            <w:r w:rsidRPr="00DD6118">
              <w:rPr>
                <w:rFonts w:ascii="Times New Roman" w:hAnsi="Times New Roman"/>
                <w:sz w:val="24"/>
                <w:szCs w:val="24"/>
                <w:lang w:val="en-GB"/>
              </w:rPr>
              <w:t xml:space="preserve">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fine </w:t>
            </w:r>
            <w:proofErr w:type="gramStart"/>
            <w:r w:rsidRPr="00DD6118">
              <w:rPr>
                <w:rFonts w:ascii="Times New Roman" w:hAnsi="Times New Roman"/>
                <w:sz w:val="24"/>
                <w:szCs w:val="24"/>
                <w:lang w:val="en-GB"/>
              </w:rPr>
              <w:t>in the amount of double</w:t>
            </w:r>
            <w:proofErr w:type="gramEnd"/>
            <w:r w:rsidRPr="00DD6118">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proofErr w:type="gramStart"/>
            <w:r w:rsidRPr="00DD6118">
              <w:rPr>
                <w:rFonts w:ascii="Times New Roman" w:hAnsi="Times New Roman"/>
                <w:sz w:val="24"/>
                <w:szCs w:val="24"/>
                <w:lang w:val="en-GB"/>
              </w:rPr>
              <w:t>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w:t>
            </w:r>
            <w:proofErr w:type="gramStart"/>
            <w:r w:rsidRPr="00DD6118">
              <w:rPr>
                <w:rFonts w:ascii="Times New Roman" w:hAnsi="Times New Roman"/>
                <w:sz w:val="24"/>
                <w:szCs w:val="24"/>
                <w:lang w:val="en-GB"/>
              </w:rPr>
              <w:t>shall be released</w:t>
            </w:r>
            <w:proofErr w:type="gramEnd"/>
            <w:r w:rsidRPr="00DD6118">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lastRenderedPageBreak/>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lastRenderedPageBreak/>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lastRenderedPageBreak/>
              <w:t xml:space="preserve">The term for performing obligations </w:t>
            </w:r>
            <w:proofErr w:type="gramStart"/>
            <w:r w:rsidRPr="00DD6118">
              <w:rPr>
                <w:rFonts w:ascii="Times New Roman" w:hAnsi="Times New Roman"/>
                <w:sz w:val="24"/>
                <w:szCs w:val="24"/>
                <w:lang w:val="en-GB"/>
              </w:rPr>
              <w:t>shall be postponed</w:t>
            </w:r>
            <w:proofErr w:type="gramEnd"/>
            <w:r w:rsidRPr="00DD6118">
              <w:rPr>
                <w:rFonts w:ascii="Times New Roman" w:hAnsi="Times New Roman"/>
                <w:sz w:val="24"/>
                <w:szCs w:val="24"/>
                <w:lang w:val="en-GB"/>
              </w:rPr>
              <w:t xml:space="preserve">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lastRenderedPageBreak/>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 xml:space="preserve">8.4. The force majeure </w:t>
            </w:r>
            <w:proofErr w:type="gramStart"/>
            <w:r w:rsidRPr="00DD6118">
              <w:rPr>
                <w:rFonts w:ascii="Times New Roman" w:hAnsi="Times New Roman"/>
                <w:sz w:val="24"/>
                <w:szCs w:val="24"/>
                <w:lang w:val="en-GB"/>
              </w:rPr>
              <w:t>shall be confirmed</w:t>
            </w:r>
            <w:proofErr w:type="gramEnd"/>
            <w:r w:rsidRPr="00DD6118">
              <w:rPr>
                <w:rFonts w:ascii="Times New Roman" w:hAnsi="Times New Roman"/>
                <w:sz w:val="24"/>
                <w:szCs w:val="24"/>
                <w:lang w:val="en-GB"/>
              </w:rPr>
              <w:t xml:space="preserve">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DD6118">
              <w:rPr>
                <w:rFonts w:ascii="Times New Roman" w:hAnsi="Times New Roman"/>
                <w:sz w:val="24"/>
                <w:szCs w:val="24"/>
                <w:lang w:val="en-GB"/>
              </w:rPr>
              <w:t>were provided</w:t>
            </w:r>
            <w:proofErr w:type="gramEnd"/>
            <w:r w:rsidRPr="00DD6118">
              <w:rPr>
                <w:rFonts w:ascii="Times New Roman" w:hAnsi="Times New Roman"/>
                <w:sz w:val="24"/>
                <w:szCs w:val="24"/>
                <w:lang w:val="en-GB"/>
              </w:rPr>
              <w:t xml:space="preserve">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DD6118">
              <w:rPr>
                <w:rFonts w:ascii="Times New Roman" w:hAnsi="Times New Roman"/>
                <w:sz w:val="24"/>
                <w:szCs w:val="24"/>
                <w:lang w:val="en-GB"/>
              </w:rPr>
              <w:t>were not performed</w:t>
            </w:r>
            <w:proofErr w:type="gramEnd"/>
            <w:r w:rsidRPr="00DD6118">
              <w:rPr>
                <w:rFonts w:ascii="Times New Roman" w:hAnsi="Times New Roman"/>
                <w:sz w:val="24"/>
                <w:szCs w:val="24"/>
                <w:lang w:val="en-GB"/>
              </w:rPr>
              <w:t xml:space="preserve"> due to the force majeure.</w:t>
            </w:r>
          </w:p>
        </w:tc>
      </w:tr>
      <w:tr w:rsidR="00F93DA8" w:rsidRPr="00DD6118" w:rsidTr="00005EE6">
        <w:tc>
          <w:tcPr>
            <w:tcW w:w="7650" w:type="dxa"/>
          </w:tcPr>
          <w:p w:rsidR="0030234F" w:rsidRDefault="0030234F" w:rsidP="00BE1AB8">
            <w:pPr>
              <w:jc w:val="center"/>
              <w:rPr>
                <w:rFonts w:ascii="Times New Roman" w:hAnsi="Times New Roman"/>
                <w:b/>
                <w:sz w:val="24"/>
                <w:szCs w:val="24"/>
                <w:lang w:val="uk-UA"/>
              </w:rPr>
            </w:pPr>
          </w:p>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30234F" w:rsidRDefault="0030234F" w:rsidP="00BE1AB8">
            <w:pPr>
              <w:jc w:val="center"/>
              <w:rPr>
                <w:rFonts w:ascii="Times New Roman" w:hAnsi="Times New Roman"/>
                <w:b/>
                <w:sz w:val="24"/>
                <w:szCs w:val="24"/>
                <w:lang w:val="en-GB"/>
              </w:rPr>
            </w:pPr>
          </w:p>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30234F" w:rsidRDefault="0030234F" w:rsidP="00BE1AB8">
            <w:pPr>
              <w:jc w:val="center"/>
              <w:rPr>
                <w:rFonts w:ascii="Times New Roman" w:hAnsi="Times New Roman"/>
                <w:b/>
                <w:sz w:val="24"/>
                <w:szCs w:val="28"/>
                <w:lang w:val="uk-UA"/>
              </w:rPr>
            </w:pPr>
          </w:p>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30234F" w:rsidRDefault="0030234F" w:rsidP="00BE1AB8">
            <w:pPr>
              <w:jc w:val="center"/>
              <w:rPr>
                <w:rFonts w:ascii="Times New Roman" w:hAnsi="Times New Roman"/>
                <w:b/>
                <w:sz w:val="24"/>
                <w:szCs w:val="24"/>
                <w:lang w:val="uk-UA"/>
              </w:rPr>
            </w:pPr>
          </w:p>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A8235C" w:rsidRPr="00977AE9">
              <w:rPr>
                <w:rFonts w:ascii="Times New Roman" w:hAnsi="Times New Roman"/>
                <w:sz w:val="24"/>
                <w:szCs w:val="24"/>
                <w:lang w:val="ru-RU"/>
              </w:rPr>
              <w:t>31.03.2028</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lastRenderedPageBreak/>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lastRenderedPageBreak/>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proofErr w:type="gramStart"/>
            <w:r w:rsidRPr="00977AE9">
              <w:rPr>
                <w:rFonts w:ascii="Times New Roman" w:hAnsi="Times New Roman"/>
                <w:sz w:val="24"/>
                <w:szCs w:val="24"/>
                <w:lang w:val="en-GB"/>
              </w:rPr>
              <w:t>till</w:t>
            </w:r>
            <w:proofErr w:type="gramEnd"/>
            <w:r w:rsidRPr="00977AE9">
              <w:rPr>
                <w:rFonts w:ascii="Times New Roman" w:hAnsi="Times New Roman"/>
                <w:sz w:val="24"/>
                <w:szCs w:val="24"/>
                <w:lang w:val="en-GB"/>
              </w:rPr>
              <w:t xml:space="preserve"> </w:t>
            </w:r>
            <w:r w:rsidR="00A8235C" w:rsidRPr="00977AE9">
              <w:rPr>
                <w:rFonts w:ascii="Times New Roman" w:hAnsi="Times New Roman"/>
                <w:sz w:val="24"/>
                <w:szCs w:val="24"/>
                <w:lang w:val="uk-UA"/>
              </w:rPr>
              <w:t>31.03.2028</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The Agreement </w:t>
            </w:r>
            <w:proofErr w:type="gramStart"/>
            <w:r w:rsidRPr="00DD6118">
              <w:rPr>
                <w:rFonts w:ascii="Times New Roman" w:hAnsi="Times New Roman"/>
                <w:sz w:val="24"/>
                <w:szCs w:val="24"/>
                <w:lang w:val="en-GB"/>
              </w:rPr>
              <w:t>shall be deemed</w:t>
            </w:r>
            <w:proofErr w:type="gramEnd"/>
            <w:r w:rsidRPr="00DD6118">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30234F" w:rsidRDefault="0030234F" w:rsidP="00254789">
            <w:pPr>
              <w:rPr>
                <w:rFonts w:ascii="Times New Roman" w:hAnsi="Times New Roman"/>
                <w:sz w:val="24"/>
                <w:szCs w:val="24"/>
                <w:lang w:val="uk-UA"/>
              </w:rPr>
            </w:pP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30234F" w:rsidRDefault="0030234F" w:rsidP="00AD6473">
            <w:pPr>
              <w:rPr>
                <w:rFonts w:ascii="Times New Roman" w:hAnsi="Times New Roman"/>
                <w:sz w:val="24"/>
                <w:szCs w:val="24"/>
                <w:lang w:val="en-GB"/>
              </w:rPr>
            </w:pPr>
          </w:p>
          <w:p w:rsidR="0030234F" w:rsidRDefault="0030234F" w:rsidP="00AD6473">
            <w:pPr>
              <w:rPr>
                <w:rFonts w:ascii="Times New Roman" w:hAnsi="Times New Roman"/>
                <w:sz w:val="24"/>
                <w:szCs w:val="24"/>
                <w:lang w:val="en-GB"/>
              </w:rPr>
            </w:pP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proofErr w:type="gramStart"/>
            <w:r w:rsidRPr="00DD6118">
              <w:rPr>
                <w:rFonts w:ascii="Times New Roman" w:hAnsi="Times New Roman"/>
                <w:sz w:val="24"/>
                <w:szCs w:val="24"/>
                <w:lang w:val="en-GB"/>
              </w:rPr>
              <w:t>in</w:t>
            </w:r>
            <w:proofErr w:type="gramEnd"/>
            <w:r w:rsidRPr="00DD6118">
              <w:rPr>
                <w:rFonts w:ascii="Times New Roman" w:hAnsi="Times New Roman"/>
                <w:sz w:val="24"/>
                <w:szCs w:val="24"/>
                <w:lang w:val="en-GB"/>
              </w:rPr>
              <w:t xml:space="preserve">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 xml:space="preserve">10.7. У разі передачі/прийому у газосховищі Замовником будь-якої частини обсягу природного газу, який був поданий на точку виходу до </w:t>
            </w:r>
            <w:r w:rsidRPr="00AB3504">
              <w:rPr>
                <w:rFonts w:ascii="Times New Roman" w:hAnsi="Times New Roman"/>
                <w:sz w:val="24"/>
                <w:szCs w:val="24"/>
                <w:lang w:val="uk-UA"/>
              </w:rPr>
              <w:lastRenderedPageBreak/>
              <w:t>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lastRenderedPageBreak/>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3A137B" w:rsidRPr="00DD6118" w:rsidRDefault="003A137B" w:rsidP="003A137B">
            <w:pPr>
              <w:rPr>
                <w:rFonts w:ascii="Times New Roman" w:hAnsi="Times New Roman"/>
                <w:sz w:val="24"/>
                <w:szCs w:val="24"/>
                <w:lang w:val="en-GB"/>
              </w:rPr>
            </w:pPr>
            <w:proofErr w:type="gramStart"/>
            <w:r w:rsidRPr="00AB3504">
              <w:rPr>
                <w:rFonts w:ascii="Times New Roman" w:hAnsi="Times New Roman"/>
                <w:sz w:val="24"/>
                <w:szCs w:val="24"/>
                <w:lang w:val="en-GB"/>
              </w:rPr>
              <w:t xml:space="preserve">10.7. In case of transfer/acceptance in the storage by the Client of any part of natural gas, which was delivered to exit point to storage or group of </w:t>
            </w:r>
            <w:r w:rsidRPr="00AB3504">
              <w:rPr>
                <w:rFonts w:ascii="Times New Roman" w:hAnsi="Times New Roman"/>
                <w:sz w:val="24"/>
                <w:szCs w:val="24"/>
                <w:lang w:val="en-GB"/>
              </w:rPr>
              <w:lastRenderedPageBreak/>
              <w:t>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DD6118" w:rsidTr="00005EE6">
        <w:tc>
          <w:tcPr>
            <w:tcW w:w="7650" w:type="dxa"/>
          </w:tcPr>
          <w:p w:rsidR="0030234F" w:rsidRDefault="0030234F" w:rsidP="00BE3B45">
            <w:pPr>
              <w:jc w:val="center"/>
              <w:rPr>
                <w:rFonts w:ascii="Times New Roman" w:hAnsi="Times New Roman"/>
                <w:b/>
                <w:sz w:val="24"/>
                <w:szCs w:val="24"/>
                <w:lang w:val="uk-UA"/>
              </w:rPr>
            </w:pPr>
          </w:p>
          <w:p w:rsidR="0030234F" w:rsidRDefault="0030234F" w:rsidP="00BE3B45">
            <w:pPr>
              <w:jc w:val="center"/>
              <w:rPr>
                <w:rFonts w:ascii="Times New Roman" w:hAnsi="Times New Roman"/>
                <w:b/>
                <w:sz w:val="24"/>
                <w:szCs w:val="24"/>
                <w:lang w:val="uk-UA"/>
              </w:rPr>
            </w:pPr>
          </w:p>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rsidR="0030234F" w:rsidRDefault="0030234F" w:rsidP="00BE3B45">
            <w:pPr>
              <w:pStyle w:val="af3"/>
              <w:tabs>
                <w:tab w:val="left" w:pos="233"/>
              </w:tabs>
              <w:spacing w:line="276" w:lineRule="auto"/>
              <w:jc w:val="center"/>
              <w:rPr>
                <w:rFonts w:ascii="Times New Roman" w:hAnsi="Times New Roman"/>
                <w:b/>
                <w:sz w:val="24"/>
                <w:szCs w:val="24"/>
                <w:lang w:val="en-GB"/>
              </w:rPr>
            </w:pPr>
          </w:p>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proofErr w:type="gramStart"/>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roofErr w:type="gramEnd"/>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proofErr w:type="gramStart"/>
            <w:r w:rsidRPr="00DD6118">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30234F" w:rsidRDefault="0030234F" w:rsidP="00BE3B45">
            <w:pPr>
              <w:tabs>
                <w:tab w:val="left" w:pos="1618"/>
              </w:tabs>
              <w:jc w:val="center"/>
              <w:rPr>
                <w:rFonts w:ascii="Times New Roman" w:hAnsi="Times New Roman"/>
                <w:b/>
                <w:sz w:val="24"/>
                <w:szCs w:val="24"/>
                <w:lang w:val="uk-UA"/>
              </w:rPr>
            </w:pPr>
          </w:p>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30234F" w:rsidRDefault="0030234F" w:rsidP="00BE3B45">
            <w:pPr>
              <w:jc w:val="center"/>
              <w:rPr>
                <w:rFonts w:ascii="Times New Roman" w:hAnsi="Times New Roman"/>
                <w:b/>
                <w:sz w:val="24"/>
                <w:szCs w:val="24"/>
                <w:lang w:val="en-GB"/>
              </w:rPr>
            </w:pPr>
          </w:p>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0E16F3" w:rsidRDefault="000E16F3" w:rsidP="00BE3B45">
            <w:pPr>
              <w:rPr>
                <w:rFonts w:ascii="Times New Roman" w:hAnsi="Times New Roman"/>
                <w:sz w:val="24"/>
                <w:szCs w:val="24"/>
                <w:lang w:val="uk-UA"/>
              </w:rPr>
            </w:pPr>
          </w:p>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0E16F3" w:rsidRPr="0024779A" w:rsidRDefault="000E16F3" w:rsidP="004B523F">
            <w:pPr>
              <w:rPr>
                <w:rFonts w:ascii="Times New Roman" w:hAnsi="Times New Roman"/>
                <w:sz w:val="24"/>
                <w:szCs w:val="24"/>
                <w:lang w:val="ru-RU"/>
              </w:rPr>
            </w:pPr>
          </w:p>
          <w:p w:rsidR="00F93DA8" w:rsidRPr="00DD6118" w:rsidRDefault="00BE3B45" w:rsidP="004B523F">
            <w:pPr>
              <w:rPr>
                <w:rFonts w:ascii="Times New Roman" w:hAnsi="Times New Roman"/>
                <w:b/>
                <w:sz w:val="24"/>
                <w:szCs w:val="24"/>
                <w:lang w:val="uk-UA"/>
              </w:rPr>
            </w:pPr>
            <w:proofErr w:type="gramStart"/>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DD6118">
              <w:rPr>
                <w:rFonts w:ascii="Times New Roman" w:hAnsi="Times New Roman"/>
                <w:sz w:val="24"/>
                <w:szCs w:val="24"/>
                <w:lang w:val="en-GB"/>
              </w:rPr>
              <w:t xml:space="preserve"> </w:t>
            </w:r>
          </w:p>
        </w:tc>
      </w:tr>
      <w:tr w:rsidR="00F93DA8" w:rsidRPr="00DD6118" w:rsidTr="00005EE6">
        <w:tc>
          <w:tcPr>
            <w:tcW w:w="7650" w:type="dxa"/>
          </w:tcPr>
          <w:p w:rsidR="0053143D" w:rsidRDefault="0053143D" w:rsidP="003A055C">
            <w:pPr>
              <w:rPr>
                <w:rFonts w:ascii="Times New Roman" w:hAnsi="Times New Roman"/>
                <w:sz w:val="24"/>
                <w:szCs w:val="24"/>
                <w:lang w:val="uk-UA"/>
              </w:rPr>
            </w:pPr>
          </w:p>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53143D" w:rsidRPr="0024779A" w:rsidRDefault="0053143D" w:rsidP="003A055C">
            <w:pPr>
              <w:rPr>
                <w:rFonts w:ascii="Times New Roman" w:hAnsi="Times New Roman"/>
                <w:sz w:val="24"/>
                <w:szCs w:val="24"/>
                <w:lang w:val="ru-RU"/>
              </w:rPr>
            </w:pPr>
          </w:p>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DD6118">
              <w:rPr>
                <w:rFonts w:ascii="Times New Roman" w:hAnsi="Times New Roman"/>
                <w:sz w:val="24"/>
                <w:szCs w:val="24"/>
                <w:lang w:val="en-GB"/>
              </w:rPr>
              <w:t>shall be deemed</w:t>
            </w:r>
            <w:proofErr w:type="gramEnd"/>
            <w:r w:rsidR="00F93DA8" w:rsidRPr="00DD6118">
              <w:rPr>
                <w:rFonts w:ascii="Times New Roman" w:hAnsi="Times New Roman"/>
                <w:sz w:val="24"/>
                <w:szCs w:val="24"/>
                <w:lang w:val="en-GB"/>
              </w:rPr>
              <w:t xml:space="preserve"> received by the addressee at the date of its receipt.</w:t>
            </w:r>
          </w:p>
        </w:tc>
      </w:tr>
      <w:tr w:rsidR="00F93DA8" w:rsidRPr="00DD6118" w:rsidTr="00005EE6">
        <w:tc>
          <w:tcPr>
            <w:tcW w:w="7650" w:type="dxa"/>
          </w:tcPr>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rsidR="000E16F3" w:rsidRPr="00DD6118" w:rsidRDefault="000E16F3"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BA0A1A"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BA0A1A"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BA0A1A"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F0BFC" w:rsidRDefault="00BA0A1A" w:rsidP="00BA0A1A">
                  <w:pPr>
                    <w:rPr>
                      <w:rFonts w:ascii="Times New Roman" w:eastAsia="Calibri" w:hAnsi="Times New Roman"/>
                      <w:sz w:val="18"/>
                      <w:szCs w:val="18"/>
                    </w:rPr>
                  </w:pPr>
                  <w:r w:rsidRPr="00951B32">
                    <w:rPr>
                      <w:rFonts w:ascii="Times New Roman" w:eastAsia="Calibri" w:hAnsi="Times New Roman"/>
                      <w:sz w:val="18"/>
                      <w:szCs w:val="18"/>
                      <w:lang w:val="uk-UA"/>
                    </w:rPr>
                    <w:t>044-461-2</w:t>
                  </w:r>
                  <w:r>
                    <w:rPr>
                      <w:rFonts w:ascii="Times New Roman" w:eastAsia="Calibri" w:hAnsi="Times New Roman"/>
                      <w:sz w:val="18"/>
                      <w:szCs w:val="18"/>
                    </w:rPr>
                    <w:t>3</w:t>
                  </w:r>
                  <w:r w:rsidRPr="00951B32">
                    <w:rPr>
                      <w:rFonts w:ascii="Times New Roman" w:eastAsia="Calibri" w:hAnsi="Times New Roman"/>
                      <w:sz w:val="18"/>
                      <w:szCs w:val="18"/>
                      <w:lang w:val="uk-UA"/>
                    </w:rPr>
                    <w:t>-</w:t>
                  </w:r>
                  <w:r>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B4156C" w:rsidP="007166F6">
                  <w:pPr>
                    <w:rPr>
                      <w:rFonts w:ascii="Times New Roman" w:eastAsia="Calibri" w:hAnsi="Times New Roman"/>
                      <w:sz w:val="18"/>
                      <w:szCs w:val="18"/>
                      <w:lang w:val="uk-UA"/>
                    </w:rPr>
                  </w:pPr>
                  <w:r>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A52B46"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p w:rsidR="000E16F3" w:rsidRPr="00DD6118" w:rsidRDefault="000E16F3"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Pr>
                      <w:rFonts w:ascii="Times New Roman" w:eastAsia="Calibri" w:hAnsi="Times New Roman"/>
                      <w:sz w:val="18"/>
                      <w:szCs w:val="18"/>
                    </w:rPr>
                    <w:t>Martynyuk Nataliya</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Pr>
                      <w:rFonts w:ascii="Times New Roman" w:eastAsia="Calibri" w:hAnsi="Times New Roman"/>
                      <w:sz w:val="18"/>
                      <w:szCs w:val="18"/>
                    </w:rPr>
                    <w:t>3</w:t>
                  </w:r>
                  <w:r w:rsidRPr="00A21B9F">
                    <w:rPr>
                      <w:rFonts w:ascii="Times New Roman" w:eastAsia="Calibri" w:hAnsi="Times New Roman"/>
                      <w:sz w:val="18"/>
                      <w:szCs w:val="18"/>
                    </w:rPr>
                    <w:t>-</w:t>
                  </w:r>
                  <w:r>
                    <w:rPr>
                      <w:rFonts w:ascii="Times New Roman" w:eastAsia="Calibri" w:hAnsi="Times New Roman"/>
                      <w:sz w:val="18"/>
                      <w:szCs w:val="18"/>
                    </w:rPr>
                    <w:t>62</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B4156C" w:rsidP="007166F6">
                  <w:pPr>
                    <w:ind w:left="-187" w:firstLine="187"/>
                    <w:rPr>
                      <w:rFonts w:ascii="Times New Roman" w:eastAsia="Calibri" w:hAnsi="Times New Roman"/>
                      <w:sz w:val="18"/>
                      <w:szCs w:val="18"/>
                    </w:rPr>
                  </w:pPr>
                  <w:r>
                    <w:rPr>
                      <w:rFonts w:ascii="Times New Roman" w:eastAsia="Calibri" w:hAnsi="Times New Roman"/>
                      <w:sz w:val="18"/>
                      <w:szCs w:val="18"/>
                      <w:lang w:val="uk-UA"/>
                    </w:rPr>
                    <w:t>martynyuk-nm@utg.ua</w:t>
                  </w:r>
                  <w:bookmarkStart w:id="0" w:name="_GoBack"/>
                  <w:bookmarkEnd w:id="0"/>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A52B46"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0E16F3" w:rsidRDefault="000E16F3" w:rsidP="00D57615">
            <w:pPr>
              <w:rPr>
                <w:rFonts w:ascii="Times New Roman" w:hAnsi="Times New Roman"/>
                <w:sz w:val="24"/>
                <w:szCs w:val="24"/>
                <w:lang w:val="uk-UA"/>
              </w:rPr>
            </w:pPr>
          </w:p>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p w:rsidR="000E16F3" w:rsidRPr="00DD6118" w:rsidRDefault="000E16F3"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0E16F3"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sidRPr="000E16F3">
                    <w:rPr>
                      <w:rFonts w:ascii="Times New Roman" w:eastAsia="Calibri" w:hAnsi="Times New Roman"/>
                      <w:lang w:val="ru-RU"/>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044-461-26-52</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044-298-81-08</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044-461-28-48</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032-234-93-31</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066-133-77-73</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w:t>
                  </w:r>
                  <w:r w:rsidRPr="00C450B0">
                    <w:rPr>
                      <w:rFonts w:ascii="Times New Roman" w:hAnsi="Times New Roman"/>
                      <w:sz w:val="18"/>
                      <w:szCs w:val="18"/>
                      <w:lang w:val="uk-UA"/>
                    </w:rPr>
                    <w:t>цілодобово</w:t>
                  </w:r>
                  <w:r w:rsidRPr="000E16F3">
                    <w:rPr>
                      <w:rFonts w:ascii="Times New Roman" w:hAnsi="Times New Roman"/>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BA0A1A" w:rsidRPr="00BA0A1A" w:rsidRDefault="00A52B46" w:rsidP="00BA0A1A">
                  <w:pPr>
                    <w:pStyle w:val="1"/>
                    <w:adjustRightInd w:val="0"/>
                    <w:ind w:left="0"/>
                    <w:jc w:val="center"/>
                    <w:rPr>
                      <w:rFonts w:ascii="Times New Roman" w:hAnsi="Times New Roman"/>
                      <w:sz w:val="18"/>
                      <w:szCs w:val="18"/>
                      <w:lang w:val="ru-RU"/>
                    </w:rPr>
                  </w:pPr>
                  <w:hyperlink r:id="rId18" w:history="1">
                    <w:r w:rsidR="00BA0A1A" w:rsidRPr="00C450B0">
                      <w:rPr>
                        <w:rStyle w:val="af5"/>
                        <w:sz w:val="18"/>
                        <w:szCs w:val="18"/>
                      </w:rPr>
                      <w:t>f</w:t>
                    </w:r>
                    <w:r w:rsidR="00BA0A1A" w:rsidRPr="00C450B0">
                      <w:rPr>
                        <w:rStyle w:val="af5"/>
                        <w:rFonts w:ascii="Times New Roman" w:hAnsi="Times New Roman"/>
                        <w:sz w:val="18"/>
                        <w:szCs w:val="18"/>
                      </w:rPr>
                      <w:t>ront</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office</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utg</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ua</w:t>
                    </w:r>
                  </w:hyperlink>
                </w:p>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BA0A1A" w:rsidRPr="00C450B0" w:rsidRDefault="00A52B46" w:rsidP="00BA0A1A">
                  <w:pPr>
                    <w:pStyle w:val="1"/>
                    <w:adjustRightInd w:val="0"/>
                    <w:ind w:left="0"/>
                    <w:jc w:val="center"/>
                    <w:rPr>
                      <w:rStyle w:val="af5"/>
                      <w:rFonts w:ascii="Times New Roman" w:hAnsi="Times New Roman"/>
                      <w:sz w:val="18"/>
                      <w:szCs w:val="18"/>
                      <w:lang w:val="uk-UA"/>
                    </w:rPr>
                  </w:pPr>
                  <w:hyperlink r:id="rId19" w:history="1">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C450B0" w:rsidRDefault="00A52B46" w:rsidP="00BA0A1A">
                  <w:pPr>
                    <w:pStyle w:val="1"/>
                    <w:adjustRightInd w:val="0"/>
                    <w:ind w:left="0"/>
                    <w:jc w:val="center"/>
                    <w:rPr>
                      <w:rStyle w:val="af5"/>
                      <w:rFonts w:ascii="Times New Roman" w:hAnsi="Times New Roman"/>
                      <w:sz w:val="18"/>
                      <w:szCs w:val="18"/>
                      <w:lang w:val="uk-UA"/>
                    </w:rPr>
                  </w:pPr>
                  <w:hyperlink r:id="rId20" w:history="1">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BA0A1A" w:rsidRPr="00DC64CF" w:rsidRDefault="00A52B46" w:rsidP="00BA0A1A">
                  <w:pPr>
                    <w:pStyle w:val="1"/>
                    <w:adjustRightInd w:val="0"/>
                    <w:ind w:left="0"/>
                    <w:jc w:val="center"/>
                    <w:rPr>
                      <w:rStyle w:val="af5"/>
                      <w:sz w:val="18"/>
                      <w:szCs w:val="18"/>
                      <w:lang w:val="ru-RU"/>
                    </w:rPr>
                  </w:pPr>
                  <w:hyperlink r:id="rId21" w:history="1">
                    <w:r w:rsidR="00BA0A1A" w:rsidRPr="00C450B0">
                      <w:rPr>
                        <w:rStyle w:val="af5"/>
                        <w:rFonts w:ascii="Times New Roman" w:hAnsi="Times New Roman"/>
                        <w:sz w:val="18"/>
                        <w:szCs w:val="18"/>
                      </w:rPr>
                      <w:t>vkd</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sso</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utg</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ua</w:t>
                    </w:r>
                  </w:hyperlink>
                </w:p>
                <w:p w:rsidR="00BA0A1A" w:rsidRDefault="00BA0A1A" w:rsidP="00BA0A1A">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rsidR="007166F6" w:rsidRPr="00C450B0" w:rsidRDefault="00A52B46" w:rsidP="00BA0A1A">
                  <w:pPr>
                    <w:pStyle w:val="1"/>
                    <w:adjustRightInd w:val="0"/>
                    <w:ind w:left="0"/>
                    <w:jc w:val="center"/>
                    <w:rPr>
                      <w:rFonts w:ascii="Times New Roman" w:hAnsi="Times New Roman"/>
                      <w:sz w:val="18"/>
                      <w:szCs w:val="18"/>
                      <w:lang w:val="uk-UA"/>
                    </w:rPr>
                  </w:pPr>
                  <w:hyperlink r:id="rId22" w:history="1">
                    <w:r w:rsidR="00BA0A1A" w:rsidRPr="00DC64CF">
                      <w:rPr>
                        <w:rStyle w:val="af5"/>
                        <w:rFonts w:ascii="Times New Roman" w:hAnsi="Times New Roman"/>
                        <w:sz w:val="18"/>
                        <w:szCs w:val="18"/>
                      </w:rPr>
                      <w:t>iplatforma-psg@utg.ua</w:t>
                    </w:r>
                  </w:hyperlink>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0E16F3" w:rsidRDefault="000E16F3" w:rsidP="00C27D86">
            <w:pPr>
              <w:rPr>
                <w:rFonts w:ascii="Times New Roman" w:hAnsi="Times New Roman"/>
                <w:sz w:val="24"/>
                <w:szCs w:val="24"/>
                <w:lang w:val="uk-UA"/>
              </w:rPr>
            </w:pPr>
          </w:p>
          <w:p w:rsidR="00F93DA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p w:rsidR="000E16F3" w:rsidRPr="00DD6118" w:rsidRDefault="000E16F3"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BA0A1A" w:rsidRPr="00C450B0" w:rsidRDefault="00A52B46" w:rsidP="00BA0A1A">
                  <w:pPr>
                    <w:pStyle w:val="1"/>
                    <w:adjustRightInd w:val="0"/>
                    <w:ind w:left="0"/>
                    <w:jc w:val="center"/>
                    <w:rPr>
                      <w:rFonts w:ascii="Times New Roman" w:hAnsi="Times New Roman"/>
                      <w:sz w:val="18"/>
                      <w:szCs w:val="18"/>
                    </w:rPr>
                  </w:pPr>
                  <w:hyperlink r:id="rId23" w:history="1">
                    <w:r w:rsidR="00BA0A1A" w:rsidRPr="00C450B0">
                      <w:rPr>
                        <w:rStyle w:val="af5"/>
                        <w:sz w:val="18"/>
                        <w:szCs w:val="18"/>
                      </w:rPr>
                      <w:t>f</w:t>
                    </w:r>
                    <w:r w:rsidR="00BA0A1A" w:rsidRPr="00C450B0">
                      <w:rPr>
                        <w:rStyle w:val="af5"/>
                        <w:rFonts w:ascii="Times New Roman" w:hAnsi="Times New Roman"/>
                        <w:sz w:val="18"/>
                        <w:szCs w:val="18"/>
                      </w:rPr>
                      <w:t>ront-office@utg.ua</w:t>
                    </w:r>
                  </w:hyperlink>
                </w:p>
                <w:p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BA0A1A" w:rsidRPr="00C450B0" w:rsidRDefault="00A52B46" w:rsidP="00BA0A1A">
                  <w:pPr>
                    <w:pStyle w:val="1"/>
                    <w:adjustRightInd w:val="0"/>
                    <w:ind w:left="0"/>
                    <w:jc w:val="center"/>
                    <w:rPr>
                      <w:rStyle w:val="af5"/>
                      <w:rFonts w:ascii="Times New Roman" w:hAnsi="Times New Roman"/>
                      <w:sz w:val="18"/>
                      <w:szCs w:val="18"/>
                      <w:lang w:val="uk-UA"/>
                    </w:rPr>
                  </w:pPr>
                  <w:hyperlink r:id="rId24" w:history="1">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C450B0" w:rsidRDefault="00A52B46" w:rsidP="00BA0A1A">
                  <w:pPr>
                    <w:pStyle w:val="1"/>
                    <w:adjustRightInd w:val="0"/>
                    <w:ind w:left="0"/>
                    <w:jc w:val="center"/>
                    <w:rPr>
                      <w:rStyle w:val="af5"/>
                      <w:rFonts w:ascii="Times New Roman" w:hAnsi="Times New Roman"/>
                      <w:sz w:val="18"/>
                      <w:szCs w:val="18"/>
                      <w:lang w:val="uk-UA"/>
                    </w:rPr>
                  </w:pPr>
                  <w:hyperlink r:id="rId25" w:history="1">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951B32" w:rsidRDefault="00BA0A1A" w:rsidP="00BA0A1A">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BA0A1A" w:rsidRPr="00C450B0" w:rsidRDefault="00A52B46" w:rsidP="00BA0A1A">
                  <w:pPr>
                    <w:pStyle w:val="1"/>
                    <w:adjustRightInd w:val="0"/>
                    <w:ind w:left="0"/>
                    <w:jc w:val="center"/>
                    <w:rPr>
                      <w:rStyle w:val="af5"/>
                      <w:sz w:val="18"/>
                      <w:szCs w:val="18"/>
                    </w:rPr>
                  </w:pPr>
                  <w:hyperlink r:id="rId26" w:history="1">
                    <w:r w:rsidR="00BA0A1A" w:rsidRPr="00C450B0">
                      <w:rPr>
                        <w:rStyle w:val="af5"/>
                        <w:rFonts w:ascii="Times New Roman" w:hAnsi="Times New Roman"/>
                        <w:sz w:val="18"/>
                        <w:szCs w:val="18"/>
                      </w:rPr>
                      <w:t>vkd-sso@utg.ua</w:t>
                    </w:r>
                  </w:hyperlink>
                </w:p>
                <w:p w:rsidR="00BA0A1A" w:rsidRDefault="00BA0A1A" w:rsidP="00BA0A1A">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rsidR="007166F6" w:rsidRPr="00C450B0" w:rsidRDefault="00A52B46" w:rsidP="00BA0A1A">
                  <w:pPr>
                    <w:pStyle w:val="1"/>
                    <w:adjustRightInd w:val="0"/>
                    <w:ind w:left="0"/>
                    <w:jc w:val="center"/>
                    <w:rPr>
                      <w:rFonts w:ascii="Times New Roman" w:hAnsi="Times New Roman"/>
                      <w:sz w:val="18"/>
                      <w:szCs w:val="18"/>
                      <w:lang w:val="uk-UA"/>
                    </w:rPr>
                  </w:pPr>
                  <w:hyperlink r:id="rId27" w:history="1">
                    <w:r w:rsidR="00BA0A1A" w:rsidRPr="00DC64CF">
                      <w:rPr>
                        <w:rStyle w:val="af5"/>
                        <w:rFonts w:ascii="Times New Roman" w:hAnsi="Times New Roman"/>
                        <w:sz w:val="18"/>
                        <w:szCs w:val="18"/>
                      </w:rPr>
                      <w:t>iplatforma-psg@utg.ua</w:t>
                    </w:r>
                  </w:hyperlink>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w:t>
            </w:r>
            <w:r w:rsidRPr="00DD6118">
              <w:rPr>
                <w:rFonts w:ascii="Times New Roman" w:hAnsi="Times New Roman"/>
                <w:sz w:val="24"/>
                <w:szCs w:val="24"/>
                <w:lang w:val="uk-UA"/>
              </w:rPr>
              <w:lastRenderedPageBreak/>
              <w:t>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12.6. The Parties shall inform each other in writing about any changes in their contact information within 5 (five) working days. In case of failure to inform about contact information changes, all information, requests, </w:t>
            </w:r>
            <w:r w:rsidRPr="00DD6118">
              <w:rPr>
                <w:rFonts w:ascii="Times New Roman" w:hAnsi="Times New Roman"/>
                <w:sz w:val="24"/>
                <w:szCs w:val="24"/>
                <w:lang w:val="en-GB"/>
              </w:rPr>
              <w:lastRenderedPageBreak/>
              <w:t>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30234F" w:rsidRDefault="0030234F" w:rsidP="004F68D0">
            <w:pPr>
              <w:jc w:val="center"/>
              <w:rPr>
                <w:rFonts w:ascii="Times New Roman" w:hAnsi="Times New Roman"/>
                <w:b/>
                <w:sz w:val="24"/>
                <w:szCs w:val="24"/>
                <w:lang w:val="uk-UA"/>
              </w:rPr>
            </w:pPr>
          </w:p>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30234F" w:rsidRDefault="0030234F" w:rsidP="004F68D0">
            <w:pPr>
              <w:jc w:val="center"/>
              <w:rPr>
                <w:rFonts w:ascii="Times New Roman" w:hAnsi="Times New Roman"/>
                <w:b/>
                <w:sz w:val="24"/>
                <w:szCs w:val="24"/>
                <w:lang w:val="en-GB"/>
              </w:rPr>
            </w:pPr>
          </w:p>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 xml:space="preserve">is executed in Ukrainian and </w:t>
            </w:r>
            <w:proofErr w:type="gramStart"/>
            <w:r w:rsidR="00993D2C" w:rsidRPr="00DD6118">
              <w:rPr>
                <w:rFonts w:ascii="Times New Roman" w:hAnsi="Times New Roman"/>
                <w:sz w:val="24"/>
                <w:szCs w:val="24"/>
              </w:rPr>
              <w:t>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DD6118">
              <w:rPr>
                <w:rFonts w:ascii="Times New Roman" w:hAnsi="Times New Roman"/>
                <w:sz w:val="24"/>
                <w:szCs w:val="24"/>
                <w:lang w:val="en-GB"/>
              </w:rPr>
              <w: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30234F" w:rsidRDefault="0030234F" w:rsidP="006D4F7F">
            <w:pPr>
              <w:jc w:val="center"/>
              <w:rPr>
                <w:rFonts w:ascii="Times New Roman" w:hAnsi="Times New Roman"/>
                <w:b/>
                <w:sz w:val="22"/>
                <w:szCs w:val="22"/>
              </w:rPr>
            </w:pPr>
          </w:p>
          <w:p w:rsidR="0030234F" w:rsidRDefault="0030234F" w:rsidP="006D4F7F">
            <w:pPr>
              <w:jc w:val="center"/>
              <w:rPr>
                <w:rFonts w:ascii="Times New Roman" w:hAnsi="Times New Roman"/>
                <w:b/>
                <w:sz w:val="22"/>
                <w:szCs w:val="22"/>
              </w:rPr>
            </w:pPr>
          </w:p>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B4156C" w:rsidTr="006D4F7F">
              <w:tc>
                <w:tcPr>
                  <w:tcW w:w="5000" w:type="pct"/>
                </w:tcPr>
                <w:p w:rsidR="007F3F05" w:rsidRPr="0030234F"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lastRenderedPageBreak/>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B4156C"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B4156C"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30234F" w:rsidRPr="00A8235C" w:rsidRDefault="0030234F" w:rsidP="006D4F7F">
            <w:pPr>
              <w:jc w:val="center"/>
              <w:rPr>
                <w:rFonts w:ascii="Times New Roman" w:hAnsi="Times New Roman"/>
                <w:b/>
                <w:sz w:val="22"/>
                <w:szCs w:val="22"/>
                <w:lang w:val="ru-RU"/>
              </w:rPr>
            </w:pPr>
          </w:p>
          <w:p w:rsidR="0030234F" w:rsidRPr="00A8235C" w:rsidRDefault="0030234F" w:rsidP="006D4F7F">
            <w:pPr>
              <w:jc w:val="center"/>
              <w:rPr>
                <w:rFonts w:ascii="Times New Roman" w:hAnsi="Times New Roman"/>
                <w:b/>
                <w:sz w:val="22"/>
                <w:szCs w:val="22"/>
                <w:lang w:val="ru-RU"/>
              </w:rPr>
            </w:pPr>
          </w:p>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lastRenderedPageBreak/>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30234F">
      <w:pPr>
        <w:spacing w:after="160" w:line="259" w:lineRule="auto"/>
        <w:jc w:val="left"/>
        <w:rPr>
          <w:rFonts w:ascii="Times New Roman" w:hAnsi="Times New Roman"/>
          <w:b/>
          <w:color w:val="000000"/>
          <w:sz w:val="24"/>
          <w:szCs w:val="24"/>
        </w:rPr>
      </w:pPr>
    </w:p>
    <w:sectPr w:rsidR="00BA59EB" w:rsidRPr="00C2547C" w:rsidSect="0053143D">
      <w:footerReference w:type="default" r:id="rId28"/>
      <w:footerReference w:type="first" r:id="rId29"/>
      <w:pgSz w:w="16838" w:h="11906" w:orient="landscape"/>
      <w:pgMar w:top="426"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46" w:rsidRDefault="00A52B46" w:rsidP="00B476C7">
      <w:r>
        <w:separator/>
      </w:r>
    </w:p>
  </w:endnote>
  <w:endnote w:type="continuationSeparator" w:id="0">
    <w:p w:rsidR="00A52B46" w:rsidRDefault="00A52B46"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33745228"/>
      <w:docPartObj>
        <w:docPartGallery w:val="Page Numbers (Bottom of Page)"/>
        <w:docPartUnique/>
      </w:docPartObj>
    </w:sdtPr>
    <w:sdtEndPr/>
    <w:sdtContent>
      <w:p w:rsidR="0053143D" w:rsidRPr="00A04B59" w:rsidRDefault="0053143D">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B4156C" w:rsidRPr="00B4156C">
          <w:rPr>
            <w:rFonts w:ascii="Times New Roman" w:hAnsi="Times New Roman"/>
            <w:noProof/>
            <w:lang w:val="ru-RU"/>
          </w:rPr>
          <w:t>16</w:t>
        </w:r>
        <w:r w:rsidRPr="00A04B59">
          <w:rPr>
            <w:rFonts w:ascii="Times New Roman" w:hAnsi="Times New Roman"/>
          </w:rPr>
          <w:fldChar w:fldCharType="end"/>
        </w:r>
      </w:p>
    </w:sdtContent>
  </w:sdt>
  <w:p w:rsidR="0053143D" w:rsidRPr="00A04B59" w:rsidRDefault="0053143D">
    <w:pPr>
      <w:pStyle w:val="a7"/>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pPr>
      <w:pStyle w:val="a7"/>
      <w:jc w:val="right"/>
    </w:pPr>
  </w:p>
  <w:p w:rsidR="0053143D" w:rsidRDefault="00531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46" w:rsidRDefault="00A52B46" w:rsidP="00B476C7">
      <w:r>
        <w:separator/>
      </w:r>
    </w:p>
  </w:footnote>
  <w:footnote w:type="continuationSeparator" w:id="0">
    <w:p w:rsidR="00A52B46" w:rsidRDefault="00A52B46"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870B6"/>
    <w:rsid w:val="0009247F"/>
    <w:rsid w:val="000A0BE7"/>
    <w:rsid w:val="000A698B"/>
    <w:rsid w:val="000B4881"/>
    <w:rsid w:val="000B4951"/>
    <w:rsid w:val="000B6F54"/>
    <w:rsid w:val="000D2C66"/>
    <w:rsid w:val="000E16F3"/>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0D61"/>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4779A"/>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234F"/>
    <w:rsid w:val="00304F7C"/>
    <w:rsid w:val="00310BF0"/>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0847"/>
    <w:rsid w:val="004E3816"/>
    <w:rsid w:val="004F68D0"/>
    <w:rsid w:val="00511669"/>
    <w:rsid w:val="00512372"/>
    <w:rsid w:val="00523EAE"/>
    <w:rsid w:val="0053143D"/>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38AC"/>
    <w:rsid w:val="0063793F"/>
    <w:rsid w:val="0064338D"/>
    <w:rsid w:val="0064640B"/>
    <w:rsid w:val="006562EA"/>
    <w:rsid w:val="006603E2"/>
    <w:rsid w:val="00661AF8"/>
    <w:rsid w:val="00661BE6"/>
    <w:rsid w:val="0066441A"/>
    <w:rsid w:val="00665D43"/>
    <w:rsid w:val="00671CB8"/>
    <w:rsid w:val="006767CC"/>
    <w:rsid w:val="0068095A"/>
    <w:rsid w:val="00687925"/>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530E2"/>
    <w:rsid w:val="00972C02"/>
    <w:rsid w:val="00972D3C"/>
    <w:rsid w:val="00973068"/>
    <w:rsid w:val="00973142"/>
    <w:rsid w:val="0097412B"/>
    <w:rsid w:val="00974E58"/>
    <w:rsid w:val="00977AE9"/>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0C57"/>
    <w:rsid w:val="009E38F2"/>
    <w:rsid w:val="009E7FFA"/>
    <w:rsid w:val="009F7709"/>
    <w:rsid w:val="00A031BD"/>
    <w:rsid w:val="00A039FC"/>
    <w:rsid w:val="00A040D4"/>
    <w:rsid w:val="00A04B59"/>
    <w:rsid w:val="00A055B3"/>
    <w:rsid w:val="00A11886"/>
    <w:rsid w:val="00A30A7B"/>
    <w:rsid w:val="00A37978"/>
    <w:rsid w:val="00A4007B"/>
    <w:rsid w:val="00A529DD"/>
    <w:rsid w:val="00A52B46"/>
    <w:rsid w:val="00A60314"/>
    <w:rsid w:val="00A61EE0"/>
    <w:rsid w:val="00A67017"/>
    <w:rsid w:val="00A714A8"/>
    <w:rsid w:val="00A73787"/>
    <w:rsid w:val="00A8075C"/>
    <w:rsid w:val="00A80BC0"/>
    <w:rsid w:val="00A8235C"/>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A5C"/>
    <w:rsid w:val="00AF6D2B"/>
    <w:rsid w:val="00AF6E29"/>
    <w:rsid w:val="00AF73A3"/>
    <w:rsid w:val="00AF7743"/>
    <w:rsid w:val="00B021C4"/>
    <w:rsid w:val="00B10C0C"/>
    <w:rsid w:val="00B12F44"/>
    <w:rsid w:val="00B22149"/>
    <w:rsid w:val="00B33A55"/>
    <w:rsid w:val="00B360C5"/>
    <w:rsid w:val="00B4156C"/>
    <w:rsid w:val="00B42117"/>
    <w:rsid w:val="00B476C7"/>
    <w:rsid w:val="00B50B6F"/>
    <w:rsid w:val="00B515AE"/>
    <w:rsid w:val="00B541AC"/>
    <w:rsid w:val="00B55CFF"/>
    <w:rsid w:val="00B620DE"/>
    <w:rsid w:val="00B63EAC"/>
    <w:rsid w:val="00B71973"/>
    <w:rsid w:val="00B74F51"/>
    <w:rsid w:val="00B83C87"/>
    <w:rsid w:val="00B87533"/>
    <w:rsid w:val="00B87C28"/>
    <w:rsid w:val="00BA0A1A"/>
    <w:rsid w:val="00BA59EB"/>
    <w:rsid w:val="00BA6C69"/>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67F7"/>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vkd-sso@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stock-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ba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front-office@utg.u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ack-sso@utg.u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iplatforma-psg@utg.ua" TargetMode="External"/><Relationship Id="rId27" Type="http://schemas.openxmlformats.org/officeDocument/2006/relationships/hyperlink" Target="mailto:iplatforma-psg@utg.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57E930-8CF0-41A8-A388-05A3BBD2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8794</Words>
  <Characters>50132</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9</cp:revision>
  <cp:lastPrinted>2018-06-21T11:35:00Z</cp:lastPrinted>
  <dcterms:created xsi:type="dcterms:W3CDTF">2021-03-12T12:27:00Z</dcterms:created>
  <dcterms:modified xsi:type="dcterms:W3CDTF">2021-07-23T11:54:00Z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