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bookmarkStart w:id="0" w:name="_GoBack"/>
            <w:bookmarkEnd w:id="0"/>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директора департаменту комерційної діяльності </w:t>
            </w:r>
            <w:r>
              <w:t>К</w:t>
            </w:r>
            <w:r w:rsidRPr="00326267">
              <w:t>уцелім Агнети Олександрівни, що діє на підставі довіреності від 13 травня 20</w:t>
            </w:r>
            <w:r>
              <w:t>20</w:t>
            </w:r>
            <w:r w:rsidRPr="00326267">
              <w:t> року № 1-2319</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9A1EBD">
              <w:rPr>
                <w:rFonts w:ascii="Times New Roman" w:hAnsi="Times New Roman"/>
                <w:sz w:val="24"/>
                <w:szCs w:val="24"/>
                <w:lang w:eastAsia="ru-RU"/>
              </w:rPr>
              <w:t>D</w:t>
            </w:r>
            <w:r w:rsidRPr="00BA72E4">
              <w:rPr>
                <w:rFonts w:ascii="Times New Roman" w:hAnsi="Times New Roman"/>
                <w:sz w:val="24"/>
                <w:szCs w:val="24"/>
                <w:lang w:eastAsia="ru-RU"/>
              </w:rPr>
              <w:t xml:space="preserve">irector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basis of power of attorney of May 13, 20</w:t>
            </w:r>
            <w:r>
              <w:rPr>
                <w:rFonts w:ascii="Times New Roman" w:hAnsi="Times New Roman"/>
                <w:sz w:val="24"/>
                <w:szCs w:val="24"/>
                <w:lang w:val="uk-UA" w:eastAsia="ru-RU"/>
              </w:rPr>
              <w:t>20</w:t>
            </w:r>
            <w:r w:rsidRPr="00BA72E4">
              <w:rPr>
                <w:rFonts w:ascii="Times New Roman" w:hAnsi="Times New Roman"/>
                <w:sz w:val="24"/>
                <w:szCs w:val="24"/>
                <w:lang w:eastAsia="ru-RU"/>
              </w:rPr>
              <w:t xml:space="preserve"> No. 1-2319</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8B657E" w:rsidRDefault="008B657E" w:rsidP="00BE1AB8">
            <w:pPr>
              <w:jc w:val="center"/>
              <w:rPr>
                <w:rFonts w:ascii="Times New Roman" w:hAnsi="Times New Roman"/>
                <w:b/>
                <w:sz w:val="24"/>
                <w:szCs w:val="24"/>
                <w:lang w:val="uk-UA"/>
              </w:rPr>
            </w:pPr>
          </w:p>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8B657E" w:rsidRDefault="008B657E" w:rsidP="003D20B3">
            <w:pPr>
              <w:jc w:val="center"/>
              <w:rPr>
                <w:rFonts w:ascii="Times New Roman" w:hAnsi="Times New Roman"/>
                <w:b/>
                <w:sz w:val="24"/>
                <w:szCs w:val="24"/>
                <w:lang w:val="en-GB"/>
              </w:rPr>
            </w:pPr>
          </w:p>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 xml:space="preserve">за результатами процедури розподілу потужності. Заявка на розподіл потужності, надана Оператору Замовником, є безвідкличною </w:t>
            </w:r>
            <w:r w:rsidRPr="00DD6118">
              <w:rPr>
                <w:rFonts w:ascii="Times New Roman" w:hAnsi="Times New Roman"/>
                <w:sz w:val="24"/>
                <w:szCs w:val="28"/>
                <w:lang w:val="uk-UA"/>
              </w:rPr>
              <w:lastRenderedPageBreak/>
              <w:t>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lastRenderedPageBreak/>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lastRenderedPageBreak/>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DD6118" w:rsidRDefault="004114D3" w:rsidP="00B74F51">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B74F51" w:rsidRPr="00DD6118">
              <w:rPr>
                <w:rFonts w:ascii="Times New Roman" w:hAnsi="Times New Roman"/>
                <w:strike/>
                <w:color w:val="000000"/>
                <w:sz w:val="24"/>
                <w:szCs w:val="28"/>
                <w:lang w:val="uk-UA"/>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w:t>
            </w:r>
            <w:r w:rsidRPr="00DD6118">
              <w:rPr>
                <w:rFonts w:ascii="Times New Roman" w:hAnsi="Times New Roman"/>
                <w:color w:val="000000"/>
                <w:sz w:val="24"/>
                <w:szCs w:val="28"/>
                <w:lang w:val="uk-UA"/>
              </w:rPr>
              <w:lastRenderedPageBreak/>
              <w:t xml:space="preserve">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w:t>
            </w:r>
            <w:r w:rsidRPr="00DD6118">
              <w:rPr>
                <w:rFonts w:ascii="Times New Roman" w:hAnsi="Times New Roman"/>
                <w:color w:val="000000"/>
                <w:sz w:val="24"/>
                <w:szCs w:val="28"/>
                <w:lang w:val="uk-UA"/>
              </w:rPr>
              <w:lastRenderedPageBreak/>
              <w:t>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lastRenderedPageBreak/>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lastRenderedPageBreak/>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lastRenderedPageBreak/>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58555046"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lastRenderedPageBreak/>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lastRenderedPageBreak/>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58555047"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lastRenderedPageBreak/>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w:t>
            </w:r>
            <w:r w:rsidRPr="00DD6118">
              <w:rPr>
                <w:rFonts w:ascii="Times New Roman" w:hAnsi="Times New Roman"/>
                <w:sz w:val="24"/>
                <w:szCs w:val="24"/>
                <w:lang w:val="uk-UA"/>
              </w:rPr>
              <w:lastRenderedPageBreak/>
              <w:t>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lastRenderedPageBreak/>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xml:space="preserve">, for which the payment is made. In case the Client fails to </w:t>
            </w:r>
            <w:r w:rsidR="00F47690" w:rsidRPr="00DD6118">
              <w:rPr>
                <w:rFonts w:ascii="Times New Roman" w:hAnsi="Times New Roman"/>
                <w:sz w:val="24"/>
                <w:szCs w:val="24"/>
              </w:rPr>
              <w:lastRenderedPageBreak/>
              <w:t>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w:t>
            </w:r>
            <w:r w:rsidRPr="00DD6118">
              <w:rPr>
                <w:rFonts w:ascii="Times New Roman" w:hAnsi="Times New Roman"/>
                <w:sz w:val="24"/>
                <w:szCs w:val="24"/>
                <w:lang w:val="uk-UA"/>
              </w:rPr>
              <w:lastRenderedPageBreak/>
              <w:t xml:space="preserve">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lastRenderedPageBreak/>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lastRenderedPageBreak/>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DD6118">
              <w:rPr>
                <w:rFonts w:ascii="Times New Roman" w:hAnsi="Times New Roman"/>
                <w:sz w:val="24"/>
                <w:szCs w:val="24"/>
                <w:lang w:val="en-GB"/>
              </w:rPr>
              <w:t>till</w:t>
            </w:r>
            <w:proofErr w:type="gramEnd"/>
            <w:r w:rsidRPr="00DD6118">
              <w:rPr>
                <w:rFonts w:ascii="Times New Roman" w:hAnsi="Times New Roman"/>
                <w:sz w:val="24"/>
                <w:szCs w:val="24"/>
                <w:lang w:val="en-GB"/>
              </w:rPr>
              <w:t xml:space="preserve">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lastRenderedPageBreak/>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lastRenderedPageBreak/>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lastRenderedPageBreak/>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lastRenderedPageBreak/>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 xml:space="preserve">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w:t>
            </w:r>
            <w:r w:rsidRPr="00DD6118">
              <w:rPr>
                <w:rFonts w:ascii="Times New Roman" w:hAnsi="Times New Roman"/>
                <w:sz w:val="24"/>
                <w:szCs w:val="24"/>
                <w:lang w:val="uk-UA"/>
              </w:rPr>
              <w:lastRenderedPageBreak/>
              <w:t>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lastRenderedPageBreak/>
              <w:t xml:space="preserve">11.2. The Party shall not be deemed as such that violates the confidentiality obligations according to Sub-clause 11.1 of the Agreement if confidential information is disclosed according to the terms and procedure established by </w:t>
            </w:r>
            <w:r w:rsidRPr="00DD6118">
              <w:rPr>
                <w:rFonts w:ascii="Times New Roman" w:hAnsi="Times New Roman"/>
                <w:sz w:val="24"/>
                <w:szCs w:val="24"/>
                <w:lang w:val="en-GB"/>
              </w:rPr>
              <w:lastRenderedPageBreak/>
              <w:t>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lastRenderedPageBreak/>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Вербенко Юлія Владленівна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управління</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A21B9F" w:rsidRDefault="007166F6" w:rsidP="007166F6">
                  <w:pPr>
                    <w:rPr>
                      <w:rFonts w:ascii="Times New Roman" w:eastAsia="Calibri"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pStyle w:val="a9"/>
                    <w:rPr>
                      <w:rFonts w:eastAsia="Calibri"/>
                      <w:sz w:val="18"/>
                      <w:szCs w:val="18"/>
                      <w:lang w:eastAsia="en-US"/>
                    </w:rPr>
                  </w:pPr>
                  <w:r w:rsidRPr="00951B32">
                    <w:rPr>
                      <w:rFonts w:eastAsia="Calibri"/>
                      <w:sz w:val="18"/>
                      <w:szCs w:val="18"/>
                      <w:lang w:eastAsia="en-US"/>
                    </w:rPr>
                    <w:t xml:space="preserve">044-461-23-72  </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pStyle w:val="a9"/>
                    <w:rPr>
                      <w:rFonts w:eastAsia="Calibri"/>
                      <w:sz w:val="18"/>
                      <w:szCs w:val="18"/>
                      <w:lang w:eastAsia="en-US"/>
                    </w:rPr>
                  </w:pPr>
                  <w:r w:rsidRPr="00951B32">
                    <w:rPr>
                      <w:rFonts w:eastAsia="Calibri"/>
                      <w:sz w:val="18"/>
                      <w:szCs w:val="18"/>
                      <w:lang w:eastAsia="en-US"/>
                    </w:rPr>
                    <w:t>verbenko-yv@utg.ua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lastRenderedPageBreak/>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926968"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12.4. The authorized representatives of the Operator and the Client appointed to provide the performance of the Agreement, shall be:</w:t>
            </w: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Verbenko Yuliia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division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044-461-23-72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verbenko-yv@utg.ua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 Iryna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lastRenderedPageBreak/>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926968"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C450B0"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7166F6" w:rsidRPr="00C450B0" w:rsidRDefault="00926968" w:rsidP="007166F6">
                  <w:pPr>
                    <w:pStyle w:val="1"/>
                    <w:adjustRightInd w:val="0"/>
                    <w:ind w:left="0"/>
                    <w:jc w:val="center"/>
                    <w:rPr>
                      <w:rFonts w:ascii="Times New Roman" w:hAnsi="Times New Roman"/>
                      <w:sz w:val="18"/>
                      <w:szCs w:val="18"/>
                    </w:rPr>
                  </w:pPr>
                  <w:hyperlink r:id="rId18"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7166F6" w:rsidRPr="00C450B0" w:rsidRDefault="00926968" w:rsidP="007166F6">
                  <w:pPr>
                    <w:pStyle w:val="1"/>
                    <w:adjustRightInd w:val="0"/>
                    <w:ind w:left="0"/>
                    <w:jc w:val="center"/>
                    <w:rPr>
                      <w:rStyle w:val="af5"/>
                      <w:rFonts w:ascii="Times New Roman" w:hAnsi="Times New Roman"/>
                      <w:sz w:val="18"/>
                      <w:szCs w:val="18"/>
                      <w:lang w:val="uk-UA"/>
                    </w:rPr>
                  </w:pPr>
                  <w:hyperlink r:id="rId19"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926968" w:rsidP="007166F6">
                  <w:pPr>
                    <w:pStyle w:val="1"/>
                    <w:adjustRightInd w:val="0"/>
                    <w:ind w:left="0"/>
                    <w:jc w:val="center"/>
                    <w:rPr>
                      <w:rStyle w:val="af5"/>
                      <w:rFonts w:ascii="Times New Roman" w:hAnsi="Times New Roman"/>
                      <w:sz w:val="18"/>
                      <w:szCs w:val="18"/>
                      <w:lang w:val="uk-UA"/>
                    </w:rPr>
                  </w:pPr>
                  <w:r>
                    <w:rPr>
                      <w:rStyle w:val="af5"/>
                      <w:rFonts w:ascii="Times New Roman" w:hAnsi="Times New Roman"/>
                      <w:sz w:val="18"/>
                      <w:szCs w:val="18"/>
                    </w:rPr>
                    <w:fldChar w:fldCharType="begin"/>
                  </w:r>
                  <w:r w:rsidRPr="00A04B59">
                    <w:rPr>
                      <w:rStyle w:val="af5"/>
                      <w:rFonts w:ascii="Times New Roman" w:hAnsi="Times New Roman"/>
                      <w:sz w:val="18"/>
                      <w:szCs w:val="18"/>
                      <w:lang w:val="ru-RU"/>
                    </w:rPr>
                    <w:instrText xml:space="preserve"> </w:instrText>
                  </w:r>
                  <w:r>
                    <w:rPr>
                      <w:rStyle w:val="af5"/>
                      <w:rFonts w:ascii="Times New Roman" w:hAnsi="Times New Roman"/>
                      <w:sz w:val="18"/>
                      <w:szCs w:val="18"/>
                    </w:rPr>
                    <w:instrText>HYPERLINK</w:instrText>
                  </w:r>
                  <w:r w:rsidRPr="00A04B59">
                    <w:rPr>
                      <w:rStyle w:val="af5"/>
                      <w:rFonts w:ascii="Times New Roman" w:hAnsi="Times New Roman"/>
                      <w:sz w:val="18"/>
                      <w:szCs w:val="18"/>
                      <w:lang w:val="ru-RU"/>
                    </w:rPr>
                    <w:instrText xml:space="preserve"> "</w:instrText>
                  </w:r>
                  <w:r>
                    <w:rPr>
                      <w:rStyle w:val="af5"/>
                      <w:rFonts w:ascii="Times New Roman" w:hAnsi="Times New Roman"/>
                      <w:sz w:val="18"/>
                      <w:szCs w:val="18"/>
                    </w:rPr>
                    <w:instrText>mailto</w:instrText>
                  </w:r>
                  <w:r w:rsidRPr="00A04B59">
                    <w:rPr>
                      <w:rStyle w:val="af5"/>
                      <w:rFonts w:ascii="Times New Roman" w:hAnsi="Times New Roman"/>
                      <w:sz w:val="18"/>
                      <w:szCs w:val="18"/>
                      <w:lang w:val="ru-RU"/>
                    </w:rPr>
                    <w:instrText>:</w:instrText>
                  </w:r>
                  <w:r>
                    <w:rPr>
                      <w:rStyle w:val="af5"/>
                      <w:rFonts w:ascii="Times New Roman" w:hAnsi="Times New Roman"/>
                      <w:sz w:val="18"/>
                      <w:szCs w:val="18"/>
                    </w:rPr>
                    <w:instrText>stock</w:instrText>
                  </w:r>
                  <w:r w:rsidRPr="00A04B59">
                    <w:rPr>
                      <w:rStyle w:val="af5"/>
                      <w:rFonts w:ascii="Times New Roman" w:hAnsi="Times New Roman"/>
                      <w:sz w:val="18"/>
                      <w:szCs w:val="18"/>
                      <w:lang w:val="ru-RU"/>
                    </w:rPr>
                    <w:instrText>-</w:instrText>
                  </w:r>
                  <w:r>
                    <w:rPr>
                      <w:rStyle w:val="af5"/>
                      <w:rFonts w:ascii="Times New Roman" w:hAnsi="Times New Roman"/>
                      <w:sz w:val="18"/>
                      <w:szCs w:val="18"/>
                    </w:rPr>
                    <w:instrText>sso</w:instrText>
                  </w:r>
                  <w:r w:rsidRPr="00A04B59">
                    <w:rPr>
                      <w:rStyle w:val="af5"/>
                      <w:rFonts w:ascii="Times New Roman" w:hAnsi="Times New Roman"/>
                      <w:sz w:val="18"/>
                      <w:szCs w:val="18"/>
                      <w:lang w:val="ru-RU"/>
                    </w:rPr>
                    <w:instrText>@</w:instrText>
                  </w:r>
                  <w:r>
                    <w:rPr>
                      <w:rStyle w:val="af5"/>
                      <w:rFonts w:ascii="Times New Roman" w:hAnsi="Times New Roman"/>
                      <w:sz w:val="18"/>
                      <w:szCs w:val="18"/>
                    </w:rPr>
                    <w:instrText>utg</w:instrText>
                  </w:r>
                  <w:r w:rsidRPr="00A04B59">
                    <w:rPr>
                      <w:rStyle w:val="af5"/>
                      <w:rFonts w:ascii="Times New Roman" w:hAnsi="Times New Roman"/>
                      <w:sz w:val="18"/>
                      <w:szCs w:val="18"/>
                      <w:lang w:val="ru-RU"/>
                    </w:rPr>
                    <w:instrText>.</w:instrText>
                  </w:r>
                  <w:r>
                    <w:rPr>
                      <w:rStyle w:val="af5"/>
                      <w:rFonts w:ascii="Times New Roman" w:hAnsi="Times New Roman"/>
                      <w:sz w:val="18"/>
                      <w:szCs w:val="18"/>
                    </w:rPr>
                    <w:instrText>ua</w:instrText>
                  </w:r>
                  <w:r w:rsidRPr="00A04B59">
                    <w:rPr>
                      <w:rStyle w:val="af5"/>
                      <w:rFonts w:ascii="Times New Roman" w:hAnsi="Times New Roman"/>
                      <w:sz w:val="18"/>
                      <w:szCs w:val="18"/>
                      <w:lang w:val="ru-RU"/>
                    </w:rPr>
                    <w:instrText xml:space="preserve">" </w:instrText>
                  </w:r>
                  <w:r>
                    <w:rPr>
                      <w:rStyle w:val="af5"/>
                      <w:rFonts w:ascii="Times New Roman" w:hAnsi="Times New Roman"/>
                      <w:sz w:val="18"/>
                      <w:szCs w:val="18"/>
                    </w:rPr>
                    <w:fldChar w:fldCharType="separate"/>
                  </w:r>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r>
                    <w:rPr>
                      <w:rStyle w:val="af5"/>
                      <w:rFonts w:ascii="Times New Roman" w:hAnsi="Times New Roman"/>
                      <w:sz w:val="18"/>
                      <w:szCs w:val="18"/>
                    </w:rPr>
                    <w:fldChar w:fldCharType="end"/>
                  </w:r>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7166F6" w:rsidRPr="00C450B0" w:rsidRDefault="00926968" w:rsidP="007166F6">
                  <w:pPr>
                    <w:pStyle w:val="1"/>
                    <w:adjustRightInd w:val="0"/>
                    <w:ind w:left="0"/>
                    <w:jc w:val="center"/>
                    <w:rPr>
                      <w:rStyle w:val="af5"/>
                      <w:sz w:val="18"/>
                      <w:szCs w:val="18"/>
                    </w:rPr>
                  </w:pPr>
                  <w:hyperlink r:id="rId20"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F93DA8" w:rsidRPr="00DD611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7166F6" w:rsidRPr="00C450B0" w:rsidRDefault="00926968" w:rsidP="007166F6">
                  <w:pPr>
                    <w:pStyle w:val="1"/>
                    <w:adjustRightInd w:val="0"/>
                    <w:ind w:left="0"/>
                    <w:jc w:val="center"/>
                    <w:rPr>
                      <w:rFonts w:ascii="Times New Roman" w:hAnsi="Times New Roman"/>
                      <w:sz w:val="18"/>
                      <w:szCs w:val="18"/>
                    </w:rPr>
                  </w:pPr>
                  <w:hyperlink r:id="rId21"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7166F6" w:rsidRPr="00C450B0" w:rsidRDefault="00926968" w:rsidP="007166F6">
                  <w:pPr>
                    <w:pStyle w:val="1"/>
                    <w:adjustRightInd w:val="0"/>
                    <w:ind w:left="0"/>
                    <w:jc w:val="center"/>
                    <w:rPr>
                      <w:rStyle w:val="af5"/>
                      <w:rFonts w:ascii="Times New Roman" w:hAnsi="Times New Roman"/>
                      <w:sz w:val="18"/>
                      <w:szCs w:val="18"/>
                      <w:lang w:val="uk-UA"/>
                    </w:rPr>
                  </w:pPr>
                  <w:hyperlink r:id="rId22"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926968" w:rsidP="007166F6">
                  <w:pPr>
                    <w:pStyle w:val="1"/>
                    <w:adjustRightInd w:val="0"/>
                    <w:ind w:left="0"/>
                    <w:jc w:val="center"/>
                    <w:rPr>
                      <w:rStyle w:val="af5"/>
                      <w:rFonts w:ascii="Times New Roman" w:hAnsi="Times New Roman"/>
                      <w:sz w:val="18"/>
                      <w:szCs w:val="18"/>
                      <w:lang w:val="uk-UA"/>
                    </w:rPr>
                  </w:pPr>
                  <w:hyperlink r:id="rId23"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951B32" w:rsidRDefault="007166F6" w:rsidP="007166F6">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7166F6" w:rsidRPr="00C450B0" w:rsidRDefault="00926968" w:rsidP="007166F6">
                  <w:pPr>
                    <w:pStyle w:val="1"/>
                    <w:adjustRightInd w:val="0"/>
                    <w:ind w:left="0"/>
                    <w:jc w:val="center"/>
                    <w:rPr>
                      <w:rStyle w:val="af5"/>
                      <w:sz w:val="18"/>
                      <w:szCs w:val="18"/>
                    </w:rPr>
                  </w:pPr>
                  <w:hyperlink r:id="rId24"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A04B59"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A04B59"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A04B59"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3472FB">
      <w:footerReference w:type="default" r:id="rId25"/>
      <w:footerReference w:type="first" r:id="rId26"/>
      <w:pgSz w:w="16838" w:h="11906" w:orient="landscape"/>
      <w:pgMar w:top="851"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68" w:rsidRDefault="00926968" w:rsidP="00B476C7">
      <w:r>
        <w:separator/>
      </w:r>
    </w:p>
  </w:endnote>
  <w:endnote w:type="continuationSeparator" w:id="0">
    <w:p w:rsidR="00926968" w:rsidRDefault="00926968"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10697895"/>
      <w:docPartObj>
        <w:docPartGallery w:val="Page Numbers (Bottom of Page)"/>
        <w:docPartUnique/>
      </w:docPartObj>
    </w:sdtPr>
    <w:sdtContent>
      <w:p w:rsidR="00A04B59" w:rsidRPr="00A04B59" w:rsidRDefault="00A04B59">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3472FB" w:rsidRPr="003472FB">
          <w:rPr>
            <w:rFonts w:ascii="Times New Roman" w:hAnsi="Times New Roman"/>
            <w:noProof/>
            <w:lang w:val="ru-RU"/>
          </w:rPr>
          <w:t>2</w:t>
        </w:r>
        <w:r w:rsidRPr="00A04B59">
          <w:rPr>
            <w:rFonts w:ascii="Times New Roman" w:hAnsi="Times New Roman"/>
          </w:rPr>
          <w:fldChar w:fldCharType="end"/>
        </w:r>
      </w:p>
    </w:sdtContent>
  </w:sdt>
  <w:p w:rsidR="00A04B59" w:rsidRPr="00A04B59" w:rsidRDefault="00A04B59">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59" w:rsidRDefault="00A04B59">
    <w:pPr>
      <w:pStyle w:val="a7"/>
      <w:jc w:val="right"/>
    </w:pPr>
  </w:p>
  <w:p w:rsidR="00A04B59" w:rsidRDefault="00A04B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68" w:rsidRDefault="00926968" w:rsidP="00B476C7">
      <w:r>
        <w:separator/>
      </w:r>
    </w:p>
  </w:footnote>
  <w:footnote w:type="continuationSeparator" w:id="0">
    <w:p w:rsidR="00926968" w:rsidRDefault="00926968"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793F"/>
    <w:rsid w:val="0064640B"/>
    <w:rsid w:val="006562EA"/>
    <w:rsid w:val="006603E2"/>
    <w:rsid w:val="00661AF8"/>
    <w:rsid w:val="00661BE6"/>
    <w:rsid w:val="0066441A"/>
    <w:rsid w:val="00665D43"/>
    <w:rsid w:val="00671CB8"/>
    <w:rsid w:val="006767CC"/>
    <w:rsid w:val="0068095A"/>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38F2"/>
    <w:rsid w:val="009E7FFA"/>
    <w:rsid w:val="009F7709"/>
    <w:rsid w:val="00A031BD"/>
    <w:rsid w:val="00A039FC"/>
    <w:rsid w:val="00A040D4"/>
    <w:rsid w:val="00A04B59"/>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D2B"/>
    <w:rsid w:val="00AF6E29"/>
    <w:rsid w:val="00AF73A3"/>
    <w:rsid w:val="00AF7743"/>
    <w:rsid w:val="00B021C4"/>
    <w:rsid w:val="00B10C0C"/>
    <w:rsid w:val="00B12F44"/>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ront-office@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vkd-sso@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vkd-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stock-sso@utg.u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back-sso@ut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024C54-AE26-45FB-A3A9-AD08F7BF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8807</Words>
  <Characters>50204</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14</cp:revision>
  <cp:lastPrinted>2018-06-21T11:35:00Z</cp:lastPrinted>
  <dcterms:created xsi:type="dcterms:W3CDTF">2019-12-02T13:20:00Z</dcterms:created>
  <dcterms:modified xsi:type="dcterms:W3CDTF">2020-08-10T05:58:00Z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